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BC34D0" w14:textId="77777777" w:rsidR="00CF23D1" w:rsidRPr="00CF23D1" w:rsidRDefault="00CF23D1" w:rsidP="00CF23D1">
      <w:pPr>
        <w:spacing w:line="480" w:lineRule="auto"/>
        <w:jc w:val="center"/>
        <w:rPr>
          <w:rFonts w:ascii="Times New Roman" w:hAnsi="Times New Roman" w:cs="Times New Roman"/>
          <w:b/>
          <w:bCs/>
          <w:sz w:val="24"/>
          <w:szCs w:val="24"/>
        </w:rPr>
      </w:pPr>
      <w:r w:rsidRPr="00CF23D1">
        <w:rPr>
          <w:rFonts w:ascii="Times New Roman" w:hAnsi="Times New Roman" w:cs="Times New Roman"/>
          <w:b/>
          <w:bCs/>
          <w:sz w:val="24"/>
          <w:szCs w:val="24"/>
        </w:rPr>
        <w:t xml:space="preserve">Events that led to conflict between Britain </w:t>
      </w:r>
      <w:bookmarkStart w:id="0" w:name="_GoBack"/>
      <w:r w:rsidRPr="00CF23D1">
        <w:rPr>
          <w:rFonts w:ascii="Times New Roman" w:hAnsi="Times New Roman" w:cs="Times New Roman"/>
          <w:b/>
          <w:bCs/>
          <w:sz w:val="24"/>
          <w:szCs w:val="24"/>
        </w:rPr>
        <w:t>and their colonialists in the late 1760s and early 1770s.</w:t>
      </w:r>
      <w:bookmarkEnd w:id="0"/>
    </w:p>
    <w:p w14:paraId="3943043A" w14:textId="066C252B" w:rsidR="00CF23D1" w:rsidRPr="00CF23D1" w:rsidRDefault="00CF23D1" w:rsidP="00CF23D1">
      <w:pPr>
        <w:spacing w:line="480" w:lineRule="auto"/>
        <w:ind w:firstLine="720"/>
        <w:rPr>
          <w:rFonts w:ascii="Times New Roman" w:hAnsi="Times New Roman" w:cs="Times New Roman"/>
          <w:sz w:val="24"/>
          <w:szCs w:val="24"/>
        </w:rPr>
      </w:pPr>
      <w:r w:rsidRPr="00CF23D1">
        <w:rPr>
          <w:rFonts w:ascii="Times New Roman" w:hAnsi="Times New Roman" w:cs="Times New Roman"/>
          <w:sz w:val="24"/>
          <w:szCs w:val="24"/>
        </w:rPr>
        <w:t>Some of the primary events that sharpened the divisions between Britain and the colonialists in the late 1760s and 1770s include; the Townshend crisis, which took place in 1767 when the British government decided to foist new taxes on the Americans (</w:t>
      </w:r>
      <w:proofErr w:type="spellStart"/>
      <w:r w:rsidRPr="00CF23D1">
        <w:rPr>
          <w:rFonts w:ascii="Times New Roman" w:hAnsi="Times New Roman" w:cs="Times New Roman"/>
          <w:sz w:val="24"/>
          <w:szCs w:val="24"/>
        </w:rPr>
        <w:t>Bailyn</w:t>
      </w:r>
      <w:proofErr w:type="spellEnd"/>
      <w:r w:rsidRPr="00CF23D1">
        <w:rPr>
          <w:rFonts w:ascii="Times New Roman" w:hAnsi="Times New Roman" w:cs="Times New Roman"/>
          <w:sz w:val="24"/>
          <w:szCs w:val="24"/>
        </w:rPr>
        <w:t>,</w:t>
      </w:r>
      <w:r w:rsidR="00130E73">
        <w:rPr>
          <w:rFonts w:ascii="Times New Roman" w:hAnsi="Times New Roman" w:cs="Times New Roman"/>
          <w:sz w:val="24"/>
          <w:szCs w:val="24"/>
        </w:rPr>
        <w:t xml:space="preserve"> </w:t>
      </w:r>
      <w:r w:rsidRPr="00CF23D1">
        <w:rPr>
          <w:rFonts w:ascii="Times New Roman" w:hAnsi="Times New Roman" w:cs="Times New Roman"/>
          <w:sz w:val="24"/>
          <w:szCs w:val="24"/>
        </w:rPr>
        <w:t>2017). Charles Townshend the cabinets financial minister convinced the national assembly to foist new taxes on products imported into the colonies and create a board to collect the taxes to reduce smuggling cases. This new set of taxes were met with significant opposition by the Americans who felt that the government was discriminating against them.</w:t>
      </w:r>
    </w:p>
    <w:p w14:paraId="5B05F7DD" w14:textId="1EA6F75B" w:rsidR="00CF23D1" w:rsidRPr="00CF23D1" w:rsidRDefault="00CF23D1" w:rsidP="00CF23D1">
      <w:pPr>
        <w:spacing w:line="480" w:lineRule="auto"/>
        <w:ind w:firstLine="720"/>
        <w:rPr>
          <w:rFonts w:ascii="Times New Roman" w:hAnsi="Times New Roman" w:cs="Times New Roman"/>
          <w:sz w:val="24"/>
          <w:szCs w:val="24"/>
        </w:rPr>
      </w:pPr>
      <w:r w:rsidRPr="00CF23D1">
        <w:rPr>
          <w:rFonts w:ascii="Times New Roman" w:hAnsi="Times New Roman" w:cs="Times New Roman"/>
          <w:sz w:val="24"/>
          <w:szCs w:val="24"/>
        </w:rPr>
        <w:t>The Boston massacre was also a significant event that acuminated the division between the British and the American colonialists. In 1770, a conflict emerged between the British troops and a crowd of Bostonians (</w:t>
      </w:r>
      <w:proofErr w:type="spellStart"/>
      <w:r w:rsidRPr="00CF23D1">
        <w:rPr>
          <w:rFonts w:ascii="Times New Roman" w:hAnsi="Times New Roman" w:cs="Times New Roman"/>
          <w:sz w:val="24"/>
          <w:szCs w:val="24"/>
        </w:rPr>
        <w:t>Novick</w:t>
      </w:r>
      <w:proofErr w:type="spellEnd"/>
      <w:r w:rsidRPr="00CF23D1">
        <w:rPr>
          <w:rFonts w:ascii="Times New Roman" w:hAnsi="Times New Roman" w:cs="Times New Roman"/>
          <w:sz w:val="24"/>
          <w:szCs w:val="24"/>
        </w:rPr>
        <w:t xml:space="preserve"> et al.</w:t>
      </w:r>
      <w:r w:rsidR="00130E73">
        <w:rPr>
          <w:rFonts w:ascii="Times New Roman" w:hAnsi="Times New Roman" w:cs="Times New Roman"/>
          <w:sz w:val="24"/>
          <w:szCs w:val="24"/>
        </w:rPr>
        <w:t>,</w:t>
      </w:r>
      <w:r w:rsidRPr="00CF23D1">
        <w:rPr>
          <w:rFonts w:ascii="Times New Roman" w:hAnsi="Times New Roman" w:cs="Times New Roman"/>
          <w:sz w:val="24"/>
          <w:szCs w:val="24"/>
        </w:rPr>
        <w:t xml:space="preserve"> 2017). This resulted in a serious tangle that left five people from the Boston crowd dead. A member of the British sons of liberty served to escalate the problem when they disseminated print that showed the British troop firing at the unarmed crowd. This further escalated the tension between the British and the American colonialists.</w:t>
      </w:r>
    </w:p>
    <w:p w14:paraId="0F02CE7A" w14:textId="5CE37FB4" w:rsidR="00CF23D1" w:rsidRPr="00CF23D1" w:rsidRDefault="00CF23D1" w:rsidP="00CF23D1">
      <w:pPr>
        <w:spacing w:line="480" w:lineRule="auto"/>
        <w:ind w:firstLine="720"/>
        <w:rPr>
          <w:rFonts w:ascii="Times New Roman" w:hAnsi="Times New Roman" w:cs="Times New Roman"/>
          <w:sz w:val="24"/>
          <w:szCs w:val="24"/>
        </w:rPr>
      </w:pPr>
      <w:r w:rsidRPr="00CF23D1">
        <w:rPr>
          <w:rFonts w:ascii="Times New Roman" w:hAnsi="Times New Roman" w:cs="Times New Roman"/>
          <w:sz w:val="24"/>
          <w:szCs w:val="24"/>
        </w:rPr>
        <w:t>The other significant contributor to the tension between the British government and the American colonialists was the Tea act. In an attempt to help the British East India company that was struggling financially, the British government offered preferential treatment in the tax collection (</w:t>
      </w:r>
      <w:proofErr w:type="spellStart"/>
      <w:r w:rsidRPr="00CF23D1">
        <w:rPr>
          <w:rFonts w:ascii="Times New Roman" w:hAnsi="Times New Roman" w:cs="Times New Roman"/>
          <w:sz w:val="24"/>
          <w:szCs w:val="24"/>
        </w:rPr>
        <w:t>Bonwick</w:t>
      </w:r>
      <w:proofErr w:type="spellEnd"/>
      <w:r w:rsidRPr="00CF23D1">
        <w:rPr>
          <w:rFonts w:ascii="Times New Roman" w:hAnsi="Times New Roman" w:cs="Times New Roman"/>
          <w:sz w:val="24"/>
          <w:szCs w:val="24"/>
        </w:rPr>
        <w:t>,</w:t>
      </w:r>
      <w:r w:rsidR="00130E73">
        <w:rPr>
          <w:rFonts w:ascii="Times New Roman" w:hAnsi="Times New Roman" w:cs="Times New Roman"/>
          <w:sz w:val="24"/>
          <w:szCs w:val="24"/>
        </w:rPr>
        <w:t xml:space="preserve"> </w:t>
      </w:r>
      <w:r w:rsidRPr="00CF23D1">
        <w:rPr>
          <w:rFonts w:ascii="Times New Roman" w:hAnsi="Times New Roman" w:cs="Times New Roman"/>
          <w:sz w:val="24"/>
          <w:szCs w:val="24"/>
        </w:rPr>
        <w:t xml:space="preserve">2017). They allowed the company to sell tea at prices that destabilized the American merchants who imported their tea from the Dutch. This led to a confrontation because the colonialists who felt that the British government restricted the </w:t>
      </w:r>
      <w:r w:rsidR="001B1562" w:rsidRPr="00CF23D1">
        <w:rPr>
          <w:rFonts w:ascii="Times New Roman" w:hAnsi="Times New Roman" w:cs="Times New Roman"/>
          <w:sz w:val="24"/>
          <w:szCs w:val="24"/>
        </w:rPr>
        <w:t>people,</w:t>
      </w:r>
      <w:r w:rsidRPr="00CF23D1">
        <w:rPr>
          <w:rFonts w:ascii="Times New Roman" w:hAnsi="Times New Roman" w:cs="Times New Roman"/>
          <w:sz w:val="24"/>
          <w:szCs w:val="24"/>
        </w:rPr>
        <w:t xml:space="preserve"> they could conduct trade with. The colonialists also felt like the East India </w:t>
      </w:r>
      <w:r w:rsidRPr="00CF23D1">
        <w:rPr>
          <w:rFonts w:ascii="Times New Roman" w:hAnsi="Times New Roman" w:cs="Times New Roman"/>
          <w:sz w:val="24"/>
          <w:szCs w:val="24"/>
        </w:rPr>
        <w:lastRenderedPageBreak/>
        <w:t>company was using its affiliation with the British government to sell their tea, which was considered unfair.</w:t>
      </w:r>
    </w:p>
    <w:p w14:paraId="79B7D517" w14:textId="77777777" w:rsidR="00CF23D1" w:rsidRPr="00CF23D1" w:rsidRDefault="00CF23D1" w:rsidP="00CF23D1">
      <w:pPr>
        <w:spacing w:line="480" w:lineRule="auto"/>
        <w:ind w:firstLine="720"/>
        <w:jc w:val="center"/>
        <w:rPr>
          <w:rFonts w:ascii="Times New Roman" w:hAnsi="Times New Roman" w:cs="Times New Roman"/>
          <w:b/>
          <w:bCs/>
          <w:sz w:val="24"/>
          <w:szCs w:val="24"/>
        </w:rPr>
      </w:pPr>
      <w:r w:rsidRPr="00CF23D1">
        <w:rPr>
          <w:rFonts w:ascii="Times New Roman" w:hAnsi="Times New Roman" w:cs="Times New Roman"/>
          <w:b/>
          <w:bCs/>
          <w:sz w:val="24"/>
          <w:szCs w:val="24"/>
        </w:rPr>
        <w:t>References</w:t>
      </w:r>
    </w:p>
    <w:p w14:paraId="31C65C84" w14:textId="77777777" w:rsidR="00CF23D1" w:rsidRPr="00CF23D1" w:rsidRDefault="00CF23D1" w:rsidP="00CF23D1">
      <w:pPr>
        <w:spacing w:line="480" w:lineRule="auto"/>
        <w:ind w:firstLine="720"/>
        <w:rPr>
          <w:rFonts w:ascii="Times New Roman" w:hAnsi="Times New Roman" w:cs="Times New Roman"/>
          <w:sz w:val="24"/>
          <w:szCs w:val="24"/>
        </w:rPr>
      </w:pPr>
      <w:r w:rsidRPr="00CF23D1">
        <w:rPr>
          <w:rFonts w:ascii="Times New Roman" w:hAnsi="Times New Roman" w:cs="Times New Roman"/>
          <w:sz w:val="24"/>
          <w:szCs w:val="24"/>
        </w:rPr>
        <w:t>Bailyn, B. (2017). The ideological origins of the American Revolution. Harvard University Press.</w:t>
      </w:r>
    </w:p>
    <w:p w14:paraId="21D7F7D7" w14:textId="77777777" w:rsidR="00CF23D1" w:rsidRPr="00CF23D1" w:rsidRDefault="00CF23D1" w:rsidP="00CF23D1">
      <w:pPr>
        <w:spacing w:line="480" w:lineRule="auto"/>
        <w:ind w:firstLine="720"/>
        <w:rPr>
          <w:rFonts w:ascii="Times New Roman" w:hAnsi="Times New Roman" w:cs="Times New Roman"/>
          <w:sz w:val="24"/>
          <w:szCs w:val="24"/>
        </w:rPr>
      </w:pPr>
      <w:r w:rsidRPr="00CF23D1">
        <w:rPr>
          <w:rFonts w:ascii="Times New Roman" w:hAnsi="Times New Roman" w:cs="Times New Roman"/>
          <w:sz w:val="24"/>
          <w:szCs w:val="24"/>
        </w:rPr>
        <w:t>Bonwick, C. (2017). English radicals and the American revolution. UNC Press Books.</w:t>
      </w:r>
    </w:p>
    <w:p w14:paraId="754BBC4F" w14:textId="77777777" w:rsidR="00CF23D1" w:rsidRPr="00CF23D1" w:rsidRDefault="00CF23D1" w:rsidP="00CF23D1">
      <w:pPr>
        <w:spacing w:line="480" w:lineRule="auto"/>
        <w:ind w:firstLine="720"/>
        <w:rPr>
          <w:rFonts w:ascii="Times New Roman" w:hAnsi="Times New Roman" w:cs="Times New Roman"/>
          <w:sz w:val="24"/>
          <w:szCs w:val="24"/>
        </w:rPr>
      </w:pPr>
      <w:r w:rsidRPr="00CF23D1">
        <w:rPr>
          <w:rFonts w:ascii="Times New Roman" w:hAnsi="Times New Roman" w:cs="Times New Roman"/>
          <w:sz w:val="24"/>
          <w:szCs w:val="24"/>
        </w:rPr>
        <w:t>Novick, D., Rodriguez, L., Pacheco, A., Rodriguez, A., Hinojos, L., Cartwright, B., ... &amp; Ponce, E. (2017, November). The Boston massacre history experience. In Proceedings of the 19th ACM International Conference on Multimodal Interaction (pp. 499-500).</w:t>
      </w:r>
    </w:p>
    <w:sectPr w:rsidR="00CF23D1" w:rsidRPr="00CF23D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5FB"/>
    <w:rsid w:val="000A3D3A"/>
    <w:rsid w:val="000C462E"/>
    <w:rsid w:val="00130E73"/>
    <w:rsid w:val="001B1562"/>
    <w:rsid w:val="00301AAA"/>
    <w:rsid w:val="00477049"/>
    <w:rsid w:val="00622654"/>
    <w:rsid w:val="0073031E"/>
    <w:rsid w:val="00757030"/>
    <w:rsid w:val="00767EDB"/>
    <w:rsid w:val="00811932"/>
    <w:rsid w:val="008725DD"/>
    <w:rsid w:val="00967A11"/>
    <w:rsid w:val="009A2C5C"/>
    <w:rsid w:val="009A4EC0"/>
    <w:rsid w:val="00C139EB"/>
    <w:rsid w:val="00CF23D1"/>
    <w:rsid w:val="00D20D03"/>
    <w:rsid w:val="00D62B55"/>
    <w:rsid w:val="00DD75FB"/>
    <w:rsid w:val="00F17CA2"/>
    <w:rsid w:val="00FE7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279D3"/>
  <w15:chartTrackingRefBased/>
  <w15:docId w15:val="{A618F856-6DFF-40D0-945E-1C61FEDF6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3</cp:revision>
  <dcterms:created xsi:type="dcterms:W3CDTF">2021-01-21T19:54:00Z</dcterms:created>
  <dcterms:modified xsi:type="dcterms:W3CDTF">2021-01-21T19:55:00Z</dcterms:modified>
</cp:coreProperties>
</file>